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776"/>
        <w:gridCol w:w="4084"/>
        <w:gridCol w:w="3580"/>
      </w:tblGrid>
      <w:tr w:rsidR="009D54AA" w:rsidTr="00926D0D">
        <w:tc>
          <w:tcPr>
            <w:tcW w:w="3018" w:type="dxa"/>
            <w:gridSpan w:val="2"/>
            <w:tcBorders>
              <w:top w:val="single" w:sz="48" w:space="0" w:color="E36C0A" w:themeColor="accent6" w:themeShade="BF"/>
              <w:left w:val="single" w:sz="48" w:space="0" w:color="E36C0A" w:themeColor="accent6" w:themeShade="BF"/>
              <w:bottom w:val="nil"/>
            </w:tcBorders>
            <w:vAlign w:val="center"/>
          </w:tcPr>
          <w:p w:rsidR="00FB2188" w:rsidRPr="00E90FAB" w:rsidRDefault="00FB2188" w:rsidP="00E90FAB">
            <w:pPr>
              <w:jc w:val="center"/>
              <w:rPr>
                <w:rFonts w:cs="Arial"/>
                <w:b/>
              </w:rPr>
            </w:pPr>
            <w:r w:rsidRPr="00E90FAB">
              <w:rPr>
                <w:rFonts w:cs="Arial"/>
                <w:b/>
              </w:rPr>
              <w:t>Evangelische Landeskirche in Baden</w:t>
            </w:r>
            <w:r w:rsidR="00E90FAB">
              <w:rPr>
                <w:rFonts w:cs="Arial"/>
                <w:b/>
              </w:rPr>
              <w:br/>
            </w:r>
          </w:p>
          <w:p w:rsidR="00FB2188" w:rsidRPr="00E90FAB" w:rsidRDefault="00E90FAB" w:rsidP="00E90FAB">
            <w:pPr>
              <w:jc w:val="center"/>
            </w:pPr>
            <w:r>
              <w:t>Evangelischer Oberkirchenrat in Karlsruhe</w:t>
            </w:r>
          </w:p>
        </w:tc>
        <w:tc>
          <w:tcPr>
            <w:tcW w:w="4084" w:type="dxa"/>
            <w:tcBorders>
              <w:top w:val="single" w:sz="48" w:space="0" w:color="E36C0A" w:themeColor="accent6" w:themeShade="BF"/>
              <w:bottom w:val="nil"/>
            </w:tcBorders>
            <w:vAlign w:val="center"/>
          </w:tcPr>
          <w:p w:rsidR="00445A4B" w:rsidRDefault="00FB2188" w:rsidP="00445A4B">
            <w:pPr>
              <w:jc w:val="center"/>
              <w:rPr>
                <w:b/>
                <w:sz w:val="28"/>
              </w:rPr>
            </w:pPr>
            <w:r w:rsidRPr="00FB2188">
              <w:rPr>
                <w:b/>
                <w:sz w:val="28"/>
              </w:rPr>
              <w:t>Betriebsanweisung</w:t>
            </w:r>
            <w:r w:rsidR="00445A4B">
              <w:rPr>
                <w:b/>
                <w:sz w:val="28"/>
              </w:rPr>
              <w:t xml:space="preserve"> </w:t>
            </w:r>
          </w:p>
          <w:p w:rsidR="00671AED" w:rsidRPr="00FB2188" w:rsidRDefault="00CA7453" w:rsidP="00FB2188">
            <w:pPr>
              <w:jc w:val="center"/>
              <w:rPr>
                <w:b/>
              </w:rPr>
            </w:pPr>
            <w:r w:rsidRPr="00CA7453">
              <w:rPr>
                <w:b/>
                <w:sz w:val="24"/>
              </w:rPr>
              <w:t>Umgang mit Tonerstaub</w:t>
            </w:r>
          </w:p>
        </w:tc>
        <w:tc>
          <w:tcPr>
            <w:tcW w:w="3580" w:type="dxa"/>
            <w:tcBorders>
              <w:top w:val="single" w:sz="48" w:space="0" w:color="E36C0A" w:themeColor="accent6" w:themeShade="BF"/>
              <w:bottom w:val="nil"/>
              <w:right w:val="single" w:sz="48" w:space="0" w:color="E36C0A" w:themeColor="accent6" w:themeShade="BF"/>
            </w:tcBorders>
            <w:vAlign w:val="center"/>
          </w:tcPr>
          <w:p w:rsidR="00FB2188" w:rsidRDefault="00FB2188" w:rsidP="00FB2188">
            <w:pPr>
              <w:jc w:val="right"/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1F616AEE" wp14:editId="774FFE34">
                  <wp:extent cx="1439545" cy="1104900"/>
                  <wp:effectExtent l="0" t="0" r="8255" b="0"/>
                  <wp:docPr id="1" name="Grafik 1" descr="Logo Ordn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Ordn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545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FB2188" w:rsidTr="00926D0D">
        <w:tc>
          <w:tcPr>
            <w:tcW w:w="10682" w:type="dxa"/>
            <w:gridSpan w:val="4"/>
            <w:tcBorders>
              <w:top w:val="nil"/>
              <w:left w:val="single" w:sz="48" w:space="0" w:color="E36C0A" w:themeColor="accent6" w:themeShade="BF"/>
              <w:bottom w:val="nil"/>
              <w:right w:val="single" w:sz="48" w:space="0" w:color="E36C0A" w:themeColor="accent6" w:themeShade="BF"/>
            </w:tcBorders>
            <w:shd w:val="clear" w:color="auto" w:fill="E36C0A" w:themeFill="accent6" w:themeFillShade="BF"/>
          </w:tcPr>
          <w:p w:rsidR="00FB2188" w:rsidRPr="00FB2188" w:rsidRDefault="00FB2188" w:rsidP="00FB2188">
            <w:pPr>
              <w:jc w:val="center"/>
              <w:rPr>
                <w:b/>
                <w:caps/>
              </w:rPr>
            </w:pPr>
            <w:r w:rsidRPr="00FB2188">
              <w:rPr>
                <w:b/>
                <w:caps/>
              </w:rPr>
              <w:t>1. Anwendungsbereich</w:t>
            </w:r>
          </w:p>
        </w:tc>
      </w:tr>
      <w:tr w:rsidR="00FB2188" w:rsidTr="00926D0D">
        <w:tc>
          <w:tcPr>
            <w:tcW w:w="10682" w:type="dxa"/>
            <w:gridSpan w:val="4"/>
            <w:tcBorders>
              <w:top w:val="nil"/>
              <w:left w:val="single" w:sz="48" w:space="0" w:color="E36C0A" w:themeColor="accent6" w:themeShade="BF"/>
              <w:bottom w:val="single" w:sz="4" w:space="0" w:color="auto"/>
              <w:right w:val="single" w:sz="48" w:space="0" w:color="E36C0A" w:themeColor="accent6" w:themeShade="BF"/>
            </w:tcBorders>
          </w:tcPr>
          <w:p w:rsidR="00CA7453" w:rsidRDefault="00CA7453" w:rsidP="00F71A0D">
            <w:pPr>
              <w:jc w:val="center"/>
              <w:rPr>
                <w:rFonts w:cs="Helvetica-Bold"/>
                <w:b/>
                <w:bCs/>
                <w:sz w:val="22"/>
                <w:szCs w:val="22"/>
              </w:rPr>
            </w:pPr>
            <w:r w:rsidRPr="00CA7453">
              <w:rPr>
                <w:rFonts w:cs="Helvetica-Bold"/>
                <w:b/>
                <w:bCs/>
                <w:sz w:val="22"/>
                <w:szCs w:val="22"/>
              </w:rPr>
              <w:t xml:space="preserve">Diese Betriebsanweisung gilt für das Wechseln der Tonerkassette </w:t>
            </w:r>
          </w:p>
          <w:p w:rsidR="00FB2188" w:rsidRPr="00CA7453" w:rsidRDefault="00CA7453" w:rsidP="00F71A0D">
            <w:pPr>
              <w:jc w:val="center"/>
              <w:rPr>
                <w:b/>
              </w:rPr>
            </w:pPr>
            <w:r w:rsidRPr="00CA7453">
              <w:rPr>
                <w:rFonts w:cs="Helvetica-Bold"/>
                <w:b/>
                <w:bCs/>
                <w:sz w:val="22"/>
                <w:szCs w:val="22"/>
              </w:rPr>
              <w:t>bzw.</w:t>
            </w:r>
            <w:r>
              <w:rPr>
                <w:rFonts w:cs="Helvetica-Bold"/>
                <w:b/>
                <w:bCs/>
                <w:sz w:val="22"/>
                <w:szCs w:val="22"/>
              </w:rPr>
              <w:t xml:space="preserve"> </w:t>
            </w:r>
            <w:r w:rsidRPr="00CA7453">
              <w:rPr>
                <w:rFonts w:cs="Helvetica-Bold"/>
                <w:b/>
                <w:bCs/>
                <w:sz w:val="22"/>
                <w:szCs w:val="22"/>
              </w:rPr>
              <w:t>Tonerflasche bei Kopierern, Laserdruckern und Laser-Faxgeräten</w:t>
            </w:r>
          </w:p>
        </w:tc>
      </w:tr>
      <w:tr w:rsidR="00FB2188" w:rsidTr="00926D0D">
        <w:tc>
          <w:tcPr>
            <w:tcW w:w="10682" w:type="dxa"/>
            <w:gridSpan w:val="4"/>
            <w:tcBorders>
              <w:left w:val="single" w:sz="48" w:space="0" w:color="E36C0A" w:themeColor="accent6" w:themeShade="BF"/>
              <w:bottom w:val="single" w:sz="4" w:space="0" w:color="auto"/>
              <w:right w:val="single" w:sz="48" w:space="0" w:color="E36C0A" w:themeColor="accent6" w:themeShade="BF"/>
            </w:tcBorders>
            <w:shd w:val="clear" w:color="auto" w:fill="E36C0A" w:themeFill="accent6" w:themeFillShade="BF"/>
            <w:vAlign w:val="center"/>
          </w:tcPr>
          <w:p w:rsidR="00FB2188" w:rsidRPr="00FB2188" w:rsidRDefault="00FB2188" w:rsidP="00FB2188">
            <w:pPr>
              <w:jc w:val="center"/>
              <w:rPr>
                <w:b/>
                <w:caps/>
              </w:rPr>
            </w:pPr>
            <w:r w:rsidRPr="00FB2188">
              <w:rPr>
                <w:b/>
                <w:caps/>
              </w:rPr>
              <w:t>2. Gefahren für Mensch und Umwelt</w:t>
            </w:r>
          </w:p>
        </w:tc>
      </w:tr>
      <w:tr w:rsidR="00717594" w:rsidTr="00EB026E">
        <w:tc>
          <w:tcPr>
            <w:tcW w:w="1242" w:type="dxa"/>
            <w:tcBorders>
              <w:left w:val="single" w:sz="48" w:space="0" w:color="E36C0A" w:themeColor="accent6" w:themeShade="BF"/>
              <w:bottom w:val="single" w:sz="4" w:space="0" w:color="auto"/>
            </w:tcBorders>
          </w:tcPr>
          <w:p w:rsidR="00717594" w:rsidRPr="006C05E3" w:rsidRDefault="00717594">
            <w:pPr>
              <w:rPr>
                <w:sz w:val="4"/>
              </w:rPr>
            </w:pPr>
            <w:r>
              <w:rPr>
                <w:noProof/>
              </w:rPr>
              <w:drawing>
                <wp:inline distT="0" distB="0" distL="0" distR="0" wp14:anchorId="52D8179C" wp14:editId="470EAC4A">
                  <wp:extent cx="680400" cy="554400"/>
                  <wp:effectExtent l="0" t="0" r="5715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euergefährliche Stoffe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400" cy="55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4"/>
              </w:rPr>
              <w:drawing>
                <wp:inline distT="0" distB="0" distL="0" distR="0" wp14:anchorId="18F46CF3" wp14:editId="7404667D">
                  <wp:extent cx="655200" cy="550800"/>
                  <wp:effectExtent l="0" t="0" r="0" b="1905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srufezeiche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00" cy="55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40" w:type="dxa"/>
            <w:gridSpan w:val="3"/>
            <w:tcBorders>
              <w:bottom w:val="single" w:sz="4" w:space="0" w:color="auto"/>
              <w:right w:val="single" w:sz="48" w:space="0" w:color="E36C0A" w:themeColor="accent6" w:themeShade="BF"/>
            </w:tcBorders>
          </w:tcPr>
          <w:p w:rsidR="00717594" w:rsidRPr="00CA7453" w:rsidRDefault="00717594" w:rsidP="00CA7453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</w:rPr>
            </w:pPr>
            <w:r w:rsidRPr="00CA7453">
              <w:rPr>
                <w:rFonts w:cs="Arial"/>
                <w:color w:val="000000"/>
                <w:sz w:val="22"/>
              </w:rPr>
              <w:t>Durch den Tonerstaub ka</w:t>
            </w:r>
            <w:r w:rsidR="009A65CE">
              <w:rPr>
                <w:rFonts w:cs="Arial"/>
                <w:color w:val="000000"/>
                <w:sz w:val="22"/>
              </w:rPr>
              <w:t>nn es zu Reizungen der Haut, der</w:t>
            </w:r>
            <w:r w:rsidRPr="00CA7453">
              <w:rPr>
                <w:rFonts w:cs="Arial"/>
                <w:color w:val="000000"/>
                <w:sz w:val="22"/>
              </w:rPr>
              <w:t xml:space="preserve"> Schleimhäute der Atemwege und der Bindehaut der Augen kommen.</w:t>
            </w:r>
          </w:p>
          <w:p w:rsidR="00717594" w:rsidRDefault="00717594" w:rsidP="00CA7453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27" w:hanging="227"/>
              <w:rPr>
                <w:rFonts w:cs="Arial"/>
                <w:color w:val="000000"/>
                <w:sz w:val="22"/>
              </w:rPr>
            </w:pPr>
            <w:r w:rsidRPr="00CA7453">
              <w:rPr>
                <w:rFonts w:cs="Arial"/>
                <w:color w:val="000000"/>
                <w:sz w:val="22"/>
              </w:rPr>
              <w:t>Tonerstaub kann sensibilisierend wirken.</w:t>
            </w:r>
          </w:p>
          <w:p w:rsidR="00717594" w:rsidRPr="00717594" w:rsidRDefault="00717594" w:rsidP="00717594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27" w:hanging="227"/>
              <w:rPr>
                <w:rFonts w:cs="Arial"/>
                <w:color w:val="000000"/>
                <w:sz w:val="22"/>
              </w:rPr>
            </w:pPr>
            <w:r w:rsidRPr="00717594">
              <w:rPr>
                <w:rFonts w:cs="Arial"/>
                <w:color w:val="000000"/>
                <w:sz w:val="22"/>
              </w:rPr>
              <w:t>Tonerstaub ist brennbar.</w:t>
            </w:r>
          </w:p>
        </w:tc>
      </w:tr>
      <w:tr w:rsidR="00FB2188" w:rsidTr="00926D0D">
        <w:tc>
          <w:tcPr>
            <w:tcW w:w="10682" w:type="dxa"/>
            <w:gridSpan w:val="4"/>
            <w:tcBorders>
              <w:left w:val="single" w:sz="48" w:space="0" w:color="E36C0A" w:themeColor="accent6" w:themeShade="BF"/>
              <w:bottom w:val="single" w:sz="4" w:space="0" w:color="auto"/>
              <w:right w:val="single" w:sz="48" w:space="0" w:color="E36C0A" w:themeColor="accent6" w:themeShade="BF"/>
            </w:tcBorders>
            <w:shd w:val="clear" w:color="auto" w:fill="E36C0A" w:themeFill="accent6" w:themeFillShade="BF"/>
            <w:vAlign w:val="center"/>
          </w:tcPr>
          <w:p w:rsidR="00FB2188" w:rsidRPr="00FB2188" w:rsidRDefault="00E27C65" w:rsidP="00FB2188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3. Schutzmass</w:t>
            </w:r>
            <w:r w:rsidR="00FB2188" w:rsidRPr="00FB2188">
              <w:rPr>
                <w:b/>
                <w:caps/>
              </w:rPr>
              <w:t>nahmen und Verhaltensregeln</w:t>
            </w:r>
          </w:p>
        </w:tc>
      </w:tr>
      <w:tr w:rsidR="00F71A0D" w:rsidTr="00926D0D">
        <w:tc>
          <w:tcPr>
            <w:tcW w:w="1242" w:type="dxa"/>
            <w:tcBorders>
              <w:left w:val="single" w:sz="48" w:space="0" w:color="E36C0A" w:themeColor="accent6" w:themeShade="BF"/>
              <w:bottom w:val="single" w:sz="4" w:space="0" w:color="auto"/>
            </w:tcBorders>
          </w:tcPr>
          <w:p w:rsidR="00C932AB" w:rsidRDefault="00C932AB" w:rsidP="00C932AB">
            <w:pPr>
              <w:jc w:val="center"/>
            </w:pPr>
          </w:p>
          <w:p w:rsidR="00C932AB" w:rsidRDefault="00C932AB" w:rsidP="00C932A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93DC6B6" wp14:editId="21FCEEB7">
                  <wp:extent cx="591185" cy="579120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185" cy="579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932AB" w:rsidRDefault="00C932AB" w:rsidP="00C932AB">
            <w:pPr>
              <w:jc w:val="center"/>
            </w:pPr>
          </w:p>
          <w:p w:rsidR="00F71A0D" w:rsidRDefault="00C932AB" w:rsidP="00C932AB">
            <w:pPr>
              <w:jc w:val="center"/>
            </w:pPr>
            <w:r w:rsidRPr="00C932AB">
              <w:rPr>
                <w:noProof/>
              </w:rPr>
              <w:drawing>
                <wp:inline distT="0" distB="0" distL="0" distR="0">
                  <wp:extent cx="550800" cy="550800"/>
                  <wp:effectExtent l="0" t="0" r="1905" b="1905"/>
                  <wp:docPr id="9" name="Grafik 9" descr="http://praevention.portal.bgn.de/files/553/thumb_51bed56b7b317_p02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praevention.portal.bgn.de/files/553/thumb_51bed56b7b317_p02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800" cy="55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40" w:type="dxa"/>
            <w:gridSpan w:val="3"/>
            <w:tcBorders>
              <w:bottom w:val="single" w:sz="4" w:space="0" w:color="auto"/>
              <w:right w:val="single" w:sz="48" w:space="0" w:color="E36C0A" w:themeColor="accent6" w:themeShade="BF"/>
            </w:tcBorders>
          </w:tcPr>
          <w:p w:rsidR="00926D0D" w:rsidRDefault="00926D0D" w:rsidP="00926D0D">
            <w:pPr>
              <w:widowControl w:val="0"/>
              <w:numPr>
                <w:ilvl w:val="0"/>
                <w:numId w:val="5"/>
              </w:numPr>
              <w:tabs>
                <w:tab w:val="left" w:pos="213"/>
              </w:tabs>
              <w:autoSpaceDE w:val="0"/>
              <w:autoSpaceDN w:val="0"/>
              <w:adjustRightInd w:val="0"/>
              <w:ind w:left="215" w:hanging="215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Der Austausch von Tonerpatronen ist nur durch unterwiesene Personen durchzuführen.</w:t>
            </w:r>
          </w:p>
          <w:p w:rsidR="00926D0D" w:rsidRPr="00926D0D" w:rsidRDefault="00CA7453" w:rsidP="00926D0D">
            <w:pPr>
              <w:widowControl w:val="0"/>
              <w:numPr>
                <w:ilvl w:val="0"/>
                <w:numId w:val="5"/>
              </w:numPr>
              <w:tabs>
                <w:tab w:val="left" w:pos="213"/>
              </w:tabs>
              <w:autoSpaceDE w:val="0"/>
              <w:autoSpaceDN w:val="0"/>
              <w:adjustRightInd w:val="0"/>
              <w:ind w:left="215" w:hanging="215"/>
              <w:rPr>
                <w:color w:val="000000"/>
                <w:sz w:val="22"/>
              </w:rPr>
            </w:pPr>
            <w:r w:rsidRPr="00CA7453">
              <w:rPr>
                <w:color w:val="000000"/>
                <w:sz w:val="22"/>
              </w:rPr>
              <w:t>Beim Tonerwechsel sind die Herstelleranleitungen zu beachten.</w:t>
            </w:r>
          </w:p>
          <w:p w:rsidR="00CA7453" w:rsidRPr="00CA7453" w:rsidRDefault="00CA7453" w:rsidP="00CA7453">
            <w:pPr>
              <w:widowControl w:val="0"/>
              <w:numPr>
                <w:ilvl w:val="0"/>
                <w:numId w:val="5"/>
              </w:numPr>
              <w:tabs>
                <w:tab w:val="left" w:pos="213"/>
              </w:tabs>
              <w:autoSpaceDE w:val="0"/>
              <w:autoSpaceDN w:val="0"/>
              <w:adjustRightInd w:val="0"/>
              <w:ind w:left="215" w:hanging="215"/>
              <w:rPr>
                <w:color w:val="000000"/>
                <w:sz w:val="22"/>
              </w:rPr>
            </w:pPr>
            <w:r w:rsidRPr="00CA7453">
              <w:rPr>
                <w:color w:val="000000"/>
                <w:sz w:val="22"/>
              </w:rPr>
              <w:t xml:space="preserve">Fernhalten von Zündquellen während des Tonerwechsels. </w:t>
            </w:r>
          </w:p>
          <w:p w:rsidR="00CA7453" w:rsidRPr="00CA7453" w:rsidRDefault="00CA7453" w:rsidP="00CA7453">
            <w:pPr>
              <w:widowControl w:val="0"/>
              <w:numPr>
                <w:ilvl w:val="0"/>
                <w:numId w:val="5"/>
              </w:numPr>
              <w:tabs>
                <w:tab w:val="left" w:pos="213"/>
              </w:tabs>
              <w:autoSpaceDE w:val="0"/>
              <w:autoSpaceDN w:val="0"/>
              <w:adjustRightInd w:val="0"/>
              <w:ind w:left="215" w:hanging="215"/>
              <w:rPr>
                <w:b/>
                <w:color w:val="000000"/>
                <w:sz w:val="22"/>
              </w:rPr>
            </w:pPr>
            <w:r w:rsidRPr="00CA7453">
              <w:rPr>
                <w:b/>
                <w:color w:val="000000"/>
                <w:sz w:val="22"/>
              </w:rPr>
              <w:t>Immer Einwegschutzhandschuhe (PSA) während des Tonerwechsels benutzen.</w:t>
            </w:r>
          </w:p>
          <w:p w:rsidR="00CA7453" w:rsidRPr="00CA7453" w:rsidRDefault="00CA7453" w:rsidP="00CA7453">
            <w:pPr>
              <w:widowControl w:val="0"/>
              <w:numPr>
                <w:ilvl w:val="0"/>
                <w:numId w:val="5"/>
              </w:numPr>
              <w:tabs>
                <w:tab w:val="left" w:pos="213"/>
              </w:tabs>
              <w:autoSpaceDE w:val="0"/>
              <w:autoSpaceDN w:val="0"/>
              <w:adjustRightInd w:val="0"/>
              <w:ind w:left="215" w:hanging="215"/>
              <w:rPr>
                <w:color w:val="000000"/>
                <w:sz w:val="22"/>
              </w:rPr>
            </w:pPr>
            <w:r w:rsidRPr="00CA7453">
              <w:rPr>
                <w:color w:val="000000"/>
                <w:sz w:val="22"/>
              </w:rPr>
              <w:t>Hautkontakt mit dem Toner vermeiden.</w:t>
            </w:r>
          </w:p>
          <w:p w:rsidR="00CA7453" w:rsidRPr="00C932AB" w:rsidRDefault="00CA7453" w:rsidP="00C932AB">
            <w:pPr>
              <w:pStyle w:val="Listenabsatz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</w:rPr>
            </w:pPr>
            <w:r w:rsidRPr="00C932AB">
              <w:rPr>
                <w:sz w:val="22"/>
              </w:rPr>
              <w:t>Toner nicht mit den Händen berühren.</w:t>
            </w:r>
          </w:p>
          <w:p w:rsidR="00CA7453" w:rsidRPr="00C932AB" w:rsidRDefault="00CA7453" w:rsidP="00C932AB">
            <w:pPr>
              <w:pStyle w:val="Listenabsatz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</w:rPr>
            </w:pPr>
            <w:r w:rsidRPr="00C932AB">
              <w:rPr>
                <w:sz w:val="22"/>
              </w:rPr>
              <w:t>Aufwirbeln des Tonerstaubes vermeiden.</w:t>
            </w:r>
          </w:p>
          <w:p w:rsidR="00CA7453" w:rsidRPr="00CA7453" w:rsidRDefault="00CA7453" w:rsidP="00C932AB">
            <w:pPr>
              <w:pStyle w:val="Listenabsatz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</w:rPr>
            </w:pPr>
            <w:r w:rsidRPr="00C932AB">
              <w:rPr>
                <w:sz w:val="22"/>
              </w:rPr>
              <w:t>Mund</w:t>
            </w:r>
            <w:r w:rsidRPr="00CA7453">
              <w:rPr>
                <w:color w:val="000000"/>
                <w:sz w:val="22"/>
              </w:rPr>
              <w:t>, Nase oder Augen nicht mit von Tonerstaub verschmutzten Händen berühren.</w:t>
            </w:r>
          </w:p>
          <w:p w:rsidR="009C3D23" w:rsidRPr="00B651A5" w:rsidRDefault="0045282E" w:rsidP="009C3D23">
            <w:pPr>
              <w:widowControl w:val="0"/>
              <w:numPr>
                <w:ilvl w:val="0"/>
                <w:numId w:val="5"/>
              </w:numPr>
              <w:tabs>
                <w:tab w:val="left" w:pos="213"/>
              </w:tabs>
              <w:autoSpaceDE w:val="0"/>
              <w:autoSpaceDN w:val="0"/>
              <w:adjustRightInd w:val="0"/>
              <w:ind w:left="215" w:hanging="215"/>
              <w:rPr>
                <w:color w:val="000000"/>
              </w:rPr>
            </w:pPr>
            <w:r>
              <w:rPr>
                <w:color w:val="000000"/>
                <w:sz w:val="22"/>
              </w:rPr>
              <w:t>W</w:t>
            </w:r>
            <w:r w:rsidR="00CA7453" w:rsidRPr="00CA7453">
              <w:rPr>
                <w:color w:val="000000"/>
                <w:sz w:val="22"/>
              </w:rPr>
              <w:t>ährend des Tonerwechsels</w:t>
            </w:r>
            <w:r>
              <w:rPr>
                <w:color w:val="000000"/>
                <w:sz w:val="22"/>
              </w:rPr>
              <w:t xml:space="preserve"> nicht essen und trinken.</w:t>
            </w:r>
          </w:p>
          <w:p w:rsidR="00B651A5" w:rsidRPr="009C3D23" w:rsidRDefault="00B651A5" w:rsidP="009C3D23">
            <w:pPr>
              <w:widowControl w:val="0"/>
              <w:numPr>
                <w:ilvl w:val="0"/>
                <w:numId w:val="5"/>
              </w:numPr>
              <w:tabs>
                <w:tab w:val="left" w:pos="213"/>
              </w:tabs>
              <w:autoSpaceDE w:val="0"/>
              <w:autoSpaceDN w:val="0"/>
              <w:adjustRightInd w:val="0"/>
              <w:ind w:left="215" w:hanging="215"/>
              <w:rPr>
                <w:color w:val="000000"/>
              </w:rPr>
            </w:pPr>
            <w:r>
              <w:rPr>
                <w:color w:val="000000"/>
                <w:sz w:val="22"/>
              </w:rPr>
              <w:t xml:space="preserve">Hinweis: „Betriebsanweisung Nutzung von Druckern und Kopieren“ </w:t>
            </w:r>
          </w:p>
        </w:tc>
      </w:tr>
      <w:tr w:rsidR="00FB2188" w:rsidRPr="00FB2188" w:rsidTr="00926D0D">
        <w:tc>
          <w:tcPr>
            <w:tcW w:w="10682" w:type="dxa"/>
            <w:gridSpan w:val="4"/>
            <w:tcBorders>
              <w:left w:val="single" w:sz="48" w:space="0" w:color="E36C0A" w:themeColor="accent6" w:themeShade="BF"/>
              <w:right w:val="single" w:sz="48" w:space="0" w:color="E36C0A" w:themeColor="accent6" w:themeShade="BF"/>
            </w:tcBorders>
            <w:shd w:val="clear" w:color="auto" w:fill="E36C0A" w:themeFill="accent6" w:themeFillShade="BF"/>
            <w:vAlign w:val="center"/>
          </w:tcPr>
          <w:p w:rsidR="00FB2188" w:rsidRPr="00FB2188" w:rsidRDefault="00FB2188" w:rsidP="00FB2188">
            <w:pPr>
              <w:jc w:val="center"/>
              <w:rPr>
                <w:b/>
                <w:caps/>
              </w:rPr>
            </w:pPr>
            <w:r w:rsidRPr="00FB2188">
              <w:rPr>
                <w:b/>
                <w:caps/>
              </w:rPr>
              <w:t>4. Verhalten im Gefahrenfall</w:t>
            </w:r>
            <w:r w:rsidR="0045282E">
              <w:rPr>
                <w:b/>
                <w:caps/>
              </w:rPr>
              <w:t>/bei Störungen</w:t>
            </w:r>
          </w:p>
        </w:tc>
      </w:tr>
      <w:tr w:rsidR="00F71A0D" w:rsidTr="00926D0D">
        <w:tc>
          <w:tcPr>
            <w:tcW w:w="1242" w:type="dxa"/>
            <w:tcBorders>
              <w:left w:val="single" w:sz="48" w:space="0" w:color="E36C0A" w:themeColor="accent6" w:themeShade="BF"/>
              <w:bottom w:val="single" w:sz="4" w:space="0" w:color="auto"/>
            </w:tcBorders>
          </w:tcPr>
          <w:p w:rsidR="00F71A0D" w:rsidRDefault="00F71A0D" w:rsidP="009D54AA">
            <w:pPr>
              <w:ind w:right="134"/>
            </w:pPr>
          </w:p>
        </w:tc>
        <w:tc>
          <w:tcPr>
            <w:tcW w:w="9440" w:type="dxa"/>
            <w:gridSpan w:val="3"/>
            <w:tcBorders>
              <w:bottom w:val="single" w:sz="4" w:space="0" w:color="auto"/>
              <w:right w:val="single" w:sz="48" w:space="0" w:color="E36C0A" w:themeColor="accent6" w:themeShade="BF"/>
            </w:tcBorders>
          </w:tcPr>
          <w:p w:rsidR="00CA7453" w:rsidRPr="00CA7453" w:rsidRDefault="00CA7453" w:rsidP="00CA7453">
            <w:pPr>
              <w:numPr>
                <w:ilvl w:val="0"/>
                <w:numId w:val="2"/>
              </w:numPr>
              <w:tabs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  <w:rPr>
                <w:sz w:val="22"/>
              </w:rPr>
            </w:pPr>
            <w:r w:rsidRPr="00CA7453">
              <w:rPr>
                <w:sz w:val="22"/>
              </w:rPr>
              <w:t>Gerät bei Störungen / untypischen Geräuschen / Verdacht auf Beschädigungen außer Betrieb nehmen.</w:t>
            </w:r>
          </w:p>
          <w:p w:rsidR="00CA7453" w:rsidRDefault="009A65CE" w:rsidP="00CA7453">
            <w:pPr>
              <w:numPr>
                <w:ilvl w:val="0"/>
                <w:numId w:val="2"/>
              </w:numPr>
              <w:tabs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  <w:rPr>
                <w:sz w:val="22"/>
              </w:rPr>
            </w:pPr>
            <w:r>
              <w:rPr>
                <w:sz w:val="22"/>
              </w:rPr>
              <w:t xml:space="preserve">Gerät mit </w:t>
            </w:r>
            <w:r w:rsidR="00202DCF">
              <w:rPr>
                <w:sz w:val="22"/>
              </w:rPr>
              <w:t>„Defekt-Schild“</w:t>
            </w:r>
            <w:r w:rsidR="00CA7453" w:rsidRPr="00CA7453">
              <w:rPr>
                <w:sz w:val="22"/>
              </w:rPr>
              <w:t xml:space="preserve"> kennzeichnen.</w:t>
            </w:r>
          </w:p>
          <w:p w:rsidR="00717594" w:rsidRPr="00717594" w:rsidRDefault="00717594" w:rsidP="00CA7453">
            <w:pPr>
              <w:numPr>
                <w:ilvl w:val="0"/>
                <w:numId w:val="2"/>
              </w:numPr>
              <w:tabs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  <w:rPr>
                <w:sz w:val="24"/>
              </w:rPr>
            </w:pPr>
            <w:r w:rsidRPr="00717594">
              <w:rPr>
                <w:sz w:val="22"/>
              </w:rPr>
              <w:t>Meldung an den Träger/Verantwortlichen</w:t>
            </w:r>
            <w:r w:rsidR="009A65CE">
              <w:rPr>
                <w:sz w:val="22"/>
              </w:rPr>
              <w:t>.</w:t>
            </w:r>
          </w:p>
          <w:p w:rsidR="00202DCF" w:rsidRDefault="00717594" w:rsidP="00717594">
            <w:pPr>
              <w:numPr>
                <w:ilvl w:val="0"/>
                <w:numId w:val="2"/>
              </w:numPr>
              <w:tabs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</w:pPr>
            <w:r w:rsidRPr="00287D59">
              <w:rPr>
                <w:sz w:val="22"/>
                <w:szCs w:val="22"/>
              </w:rPr>
              <w:t>Reparaturen dürfen nur vom Kundendienst/</w:t>
            </w:r>
            <w:r>
              <w:rPr>
                <w:sz w:val="22"/>
                <w:szCs w:val="22"/>
              </w:rPr>
              <w:t xml:space="preserve">beauftragter </w:t>
            </w:r>
            <w:r w:rsidRPr="00287D59">
              <w:rPr>
                <w:sz w:val="22"/>
                <w:szCs w:val="22"/>
              </w:rPr>
              <w:t>fachkundiger Person durchgeführt werden.</w:t>
            </w:r>
          </w:p>
        </w:tc>
      </w:tr>
      <w:tr w:rsidR="00671AED" w:rsidTr="00926D0D">
        <w:tc>
          <w:tcPr>
            <w:tcW w:w="10682" w:type="dxa"/>
            <w:gridSpan w:val="4"/>
            <w:tcBorders>
              <w:left w:val="single" w:sz="48" w:space="0" w:color="E36C0A" w:themeColor="accent6" w:themeShade="BF"/>
              <w:right w:val="single" w:sz="48" w:space="0" w:color="E36C0A" w:themeColor="accent6" w:themeShade="BF"/>
            </w:tcBorders>
            <w:shd w:val="clear" w:color="auto" w:fill="E36C0A" w:themeFill="accent6" w:themeFillShade="BF"/>
            <w:vAlign w:val="center"/>
          </w:tcPr>
          <w:p w:rsidR="00671AED" w:rsidRPr="00671AED" w:rsidRDefault="00671AED" w:rsidP="00671AED">
            <w:pPr>
              <w:jc w:val="center"/>
              <w:rPr>
                <w:b/>
                <w:caps/>
              </w:rPr>
            </w:pPr>
            <w:r w:rsidRPr="00671AED">
              <w:rPr>
                <w:b/>
                <w:caps/>
              </w:rPr>
              <w:t>5. Erste Hilfe</w:t>
            </w:r>
            <w:r w:rsidR="0045282E">
              <w:rPr>
                <w:b/>
                <w:caps/>
              </w:rPr>
              <w:t>/Verhalten bei UNfällen</w:t>
            </w:r>
          </w:p>
        </w:tc>
      </w:tr>
      <w:tr w:rsidR="00926D0D" w:rsidTr="00717594">
        <w:tc>
          <w:tcPr>
            <w:tcW w:w="1242" w:type="dxa"/>
            <w:tcBorders>
              <w:left w:val="single" w:sz="48" w:space="0" w:color="E36C0A" w:themeColor="accent6" w:themeShade="BF"/>
              <w:bottom w:val="single" w:sz="4" w:space="0" w:color="auto"/>
            </w:tcBorders>
          </w:tcPr>
          <w:p w:rsidR="00C932AB" w:rsidRDefault="00C932AB" w:rsidP="00717594">
            <w:pPr>
              <w:tabs>
                <w:tab w:val="left" w:pos="567"/>
              </w:tabs>
              <w:ind w:right="176"/>
              <w:jc w:val="center"/>
              <w:rPr>
                <w:b/>
              </w:rPr>
            </w:pPr>
          </w:p>
          <w:p w:rsidR="00C932AB" w:rsidRDefault="00C932AB" w:rsidP="00717594">
            <w:pPr>
              <w:tabs>
                <w:tab w:val="left" w:pos="567"/>
              </w:tabs>
              <w:ind w:right="176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6BA9A329" wp14:editId="65E54C5C">
                  <wp:extent cx="466725" cy="466725"/>
                  <wp:effectExtent l="0" t="0" r="9525" b="9525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932AB" w:rsidRDefault="00C932AB" w:rsidP="00717594">
            <w:pPr>
              <w:tabs>
                <w:tab w:val="left" w:pos="567"/>
              </w:tabs>
              <w:ind w:right="176"/>
              <w:jc w:val="center"/>
              <w:rPr>
                <w:b/>
              </w:rPr>
            </w:pPr>
          </w:p>
          <w:p w:rsidR="00C932AB" w:rsidRDefault="00C932AB" w:rsidP="00717594">
            <w:pPr>
              <w:tabs>
                <w:tab w:val="left" w:pos="567"/>
              </w:tabs>
              <w:ind w:right="176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4C3B72B7" wp14:editId="1FACB2DF">
                  <wp:extent cx="426720" cy="426720"/>
                  <wp:effectExtent l="0" t="0" r="0" b="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426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17594" w:rsidRPr="0001197C" w:rsidRDefault="00717594" w:rsidP="00717594">
            <w:pPr>
              <w:tabs>
                <w:tab w:val="left" w:pos="567"/>
              </w:tabs>
              <w:ind w:right="176"/>
              <w:jc w:val="center"/>
              <w:rPr>
                <w:b/>
              </w:rPr>
            </w:pPr>
            <w:r>
              <w:rPr>
                <w:b/>
              </w:rPr>
              <w:t xml:space="preserve">    </w:t>
            </w:r>
            <w:r w:rsidRPr="0001197C">
              <w:rPr>
                <w:b/>
              </w:rPr>
              <w:t>112</w:t>
            </w:r>
          </w:p>
          <w:p w:rsidR="00926D0D" w:rsidRDefault="00926D0D" w:rsidP="00717594"/>
        </w:tc>
        <w:tc>
          <w:tcPr>
            <w:tcW w:w="9440" w:type="dxa"/>
            <w:gridSpan w:val="3"/>
            <w:tcBorders>
              <w:bottom w:val="single" w:sz="4" w:space="0" w:color="auto"/>
              <w:right w:val="single" w:sz="48" w:space="0" w:color="E36C0A" w:themeColor="accent6" w:themeShade="BF"/>
            </w:tcBorders>
          </w:tcPr>
          <w:p w:rsidR="00926D0D" w:rsidRDefault="0045282E" w:rsidP="0045282E">
            <w:pPr>
              <w:numPr>
                <w:ilvl w:val="0"/>
                <w:numId w:val="2"/>
              </w:numPr>
              <w:tabs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  <w:rPr>
                <w:sz w:val="22"/>
              </w:rPr>
            </w:pPr>
            <w:r>
              <w:rPr>
                <w:sz w:val="22"/>
              </w:rPr>
              <w:t xml:space="preserve">Ersthelfer heranziehen! </w:t>
            </w:r>
          </w:p>
          <w:p w:rsidR="0045282E" w:rsidRDefault="00926D0D" w:rsidP="0045282E">
            <w:pPr>
              <w:numPr>
                <w:ilvl w:val="0"/>
                <w:numId w:val="2"/>
              </w:numPr>
              <w:tabs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  <w:rPr>
                <w:sz w:val="22"/>
              </w:rPr>
            </w:pPr>
            <w:r>
              <w:rPr>
                <w:sz w:val="22"/>
              </w:rPr>
              <w:t>Bei Hautkontakt die betroffene Hautpartie mit kaltem (!) Wasser und Seife reinig</w:t>
            </w:r>
            <w:r w:rsidR="0045282E">
              <w:rPr>
                <w:sz w:val="22"/>
              </w:rPr>
              <w:t>en</w:t>
            </w:r>
          </w:p>
          <w:p w:rsidR="0045282E" w:rsidRPr="00CA7453" w:rsidRDefault="0045282E" w:rsidP="0045282E">
            <w:pPr>
              <w:numPr>
                <w:ilvl w:val="0"/>
                <w:numId w:val="2"/>
              </w:numPr>
              <w:tabs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  <w:rPr>
                <w:sz w:val="22"/>
              </w:rPr>
            </w:pPr>
            <w:r w:rsidRPr="00CA7453">
              <w:rPr>
                <w:sz w:val="22"/>
              </w:rPr>
              <w:t>Lassen Sie Verletzungen sofort behandeln.</w:t>
            </w:r>
          </w:p>
          <w:p w:rsidR="0045282E" w:rsidRPr="0045282E" w:rsidRDefault="0045282E" w:rsidP="0045282E">
            <w:pPr>
              <w:overflowPunct w:val="0"/>
              <w:autoSpaceDE w:val="0"/>
              <w:autoSpaceDN w:val="0"/>
              <w:adjustRightInd w:val="0"/>
              <w:ind w:left="-52"/>
              <w:textAlignment w:val="baseline"/>
              <w:rPr>
                <w:b/>
                <w:sz w:val="22"/>
              </w:rPr>
            </w:pPr>
            <w:r w:rsidRPr="0045282E">
              <w:rPr>
                <w:b/>
                <w:sz w:val="22"/>
              </w:rPr>
              <w:t>Der Durchgangsarzt muss in folgende</w:t>
            </w:r>
            <w:r>
              <w:rPr>
                <w:b/>
                <w:sz w:val="22"/>
              </w:rPr>
              <w:t>n</w:t>
            </w:r>
            <w:r w:rsidRPr="0045282E">
              <w:rPr>
                <w:b/>
                <w:sz w:val="22"/>
              </w:rPr>
              <w:t xml:space="preserve"> Fällen aufgesucht werden:</w:t>
            </w:r>
          </w:p>
          <w:p w:rsidR="00926D0D" w:rsidRPr="0045282E" w:rsidRDefault="0045282E" w:rsidP="0045282E">
            <w:pPr>
              <w:pStyle w:val="Listenabsatz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</w:rPr>
            </w:pPr>
            <w:r w:rsidRPr="0045282E">
              <w:rPr>
                <w:sz w:val="22"/>
              </w:rPr>
              <w:t>b</w:t>
            </w:r>
            <w:r w:rsidR="00926D0D" w:rsidRPr="0045282E">
              <w:rPr>
                <w:sz w:val="22"/>
              </w:rPr>
              <w:t xml:space="preserve">ei Kontakt mit den Augen </w:t>
            </w:r>
            <w:r>
              <w:rPr>
                <w:sz w:val="22"/>
              </w:rPr>
              <w:t xml:space="preserve">-&gt; </w:t>
            </w:r>
            <w:r w:rsidRPr="0045282E">
              <w:rPr>
                <w:sz w:val="22"/>
              </w:rPr>
              <w:t>diese müssen zunächst</w:t>
            </w:r>
            <w:r w:rsidR="00926D0D" w:rsidRPr="0045282E">
              <w:rPr>
                <w:sz w:val="22"/>
              </w:rPr>
              <w:t xml:space="preserve"> umgehend mindestens 10 Minuten lang mit kaltem Wasser gespült werden</w:t>
            </w:r>
          </w:p>
          <w:p w:rsidR="009C3D23" w:rsidRPr="0045282E" w:rsidRDefault="0045282E" w:rsidP="0045282E">
            <w:pPr>
              <w:pStyle w:val="Listenabsatz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</w:rPr>
            </w:pPr>
            <w:r w:rsidRPr="0045282E">
              <w:rPr>
                <w:sz w:val="22"/>
              </w:rPr>
              <w:t>s</w:t>
            </w:r>
            <w:r w:rsidR="009C3D23" w:rsidRPr="0045282E">
              <w:rPr>
                <w:sz w:val="22"/>
              </w:rPr>
              <w:t>ollte Toner eingeatmet oder verschluckt worden sein</w:t>
            </w:r>
            <w:r w:rsidRPr="0045282E">
              <w:rPr>
                <w:sz w:val="22"/>
              </w:rPr>
              <w:t>.</w:t>
            </w:r>
          </w:p>
          <w:p w:rsidR="00926D0D" w:rsidRDefault="00926D0D" w:rsidP="0045282E">
            <w:pPr>
              <w:pStyle w:val="Listenabsatz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</w:rPr>
            </w:pPr>
            <w:r w:rsidRPr="0045282E">
              <w:rPr>
                <w:rFonts w:cs="Arial"/>
                <w:color w:val="000000"/>
                <w:sz w:val="22"/>
              </w:rPr>
              <w:t>wenn aufgrund der Verletzung mit Arbeitsunfähigkeit zu rechnen ist</w:t>
            </w:r>
            <w:r w:rsidRPr="0045282E">
              <w:rPr>
                <w:sz w:val="22"/>
              </w:rPr>
              <w:t>.</w:t>
            </w:r>
          </w:p>
          <w:p w:rsidR="00926D0D" w:rsidRDefault="0045282E" w:rsidP="0045282E">
            <w:pPr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</w:rPr>
            </w:pPr>
            <w:r>
              <w:rPr>
                <w:sz w:val="22"/>
              </w:rPr>
              <w:t>m</w:t>
            </w:r>
            <w:r w:rsidR="00926D0D" w:rsidRPr="00AC4E53">
              <w:rPr>
                <w:sz w:val="22"/>
              </w:rPr>
              <w:t xml:space="preserve">elden Sie den Unfall unverzüglich </w:t>
            </w:r>
            <w:r w:rsidR="00926D0D">
              <w:rPr>
                <w:sz w:val="22"/>
              </w:rPr>
              <w:t>der Personalverwaltung.</w:t>
            </w:r>
          </w:p>
          <w:p w:rsidR="00926D0D" w:rsidRPr="00AC4E53" w:rsidRDefault="0045282E" w:rsidP="0045282E">
            <w:pPr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</w:rPr>
            </w:pPr>
            <w:r>
              <w:rPr>
                <w:sz w:val="22"/>
              </w:rPr>
              <w:t>a</w:t>
            </w:r>
            <w:r w:rsidR="00926D0D" w:rsidRPr="00AC4E53">
              <w:rPr>
                <w:sz w:val="22"/>
              </w:rPr>
              <w:t>chten Sie darauf, dass über jede Erste-Hilfe-Leistung, Aufzeichnungen in einem Verbandbuch gemacht werden.</w:t>
            </w:r>
          </w:p>
          <w:p w:rsidR="00926D0D" w:rsidRPr="00CA7453" w:rsidRDefault="00926D0D" w:rsidP="008828C4">
            <w:pPr>
              <w:tabs>
                <w:tab w:val="num" w:pos="232"/>
              </w:tabs>
              <w:overflowPunct w:val="0"/>
              <w:autoSpaceDE w:val="0"/>
              <w:autoSpaceDN w:val="0"/>
              <w:adjustRightInd w:val="0"/>
              <w:ind w:left="-52"/>
              <w:rPr>
                <w:sz w:val="22"/>
              </w:rPr>
            </w:pPr>
            <w:r w:rsidRPr="00CA7453">
              <w:rPr>
                <w:b/>
                <w:sz w:val="24"/>
                <w:szCs w:val="22"/>
              </w:rPr>
              <w:t>Ersthelfer</w:t>
            </w:r>
            <w:r w:rsidR="00C932AB">
              <w:rPr>
                <w:b/>
                <w:sz w:val="24"/>
                <w:szCs w:val="22"/>
              </w:rPr>
              <w:t>/in</w:t>
            </w:r>
            <w:r w:rsidRPr="00CA7453">
              <w:rPr>
                <w:b/>
                <w:sz w:val="24"/>
                <w:szCs w:val="22"/>
              </w:rPr>
              <w:t>:</w:t>
            </w:r>
            <w:r w:rsidRPr="00CA7453">
              <w:rPr>
                <w:b/>
                <w:sz w:val="24"/>
                <w:szCs w:val="22"/>
              </w:rPr>
              <w:tab/>
            </w:r>
          </w:p>
          <w:p w:rsidR="00926D0D" w:rsidRDefault="00926D0D" w:rsidP="00947F74"/>
        </w:tc>
      </w:tr>
      <w:tr w:rsidR="00671AED" w:rsidRPr="00671AED" w:rsidTr="00926D0D">
        <w:tc>
          <w:tcPr>
            <w:tcW w:w="10682" w:type="dxa"/>
            <w:gridSpan w:val="4"/>
            <w:tcBorders>
              <w:left w:val="single" w:sz="48" w:space="0" w:color="E36C0A" w:themeColor="accent6" w:themeShade="BF"/>
              <w:right w:val="single" w:sz="48" w:space="0" w:color="E36C0A" w:themeColor="accent6" w:themeShade="BF"/>
            </w:tcBorders>
            <w:shd w:val="clear" w:color="auto" w:fill="E36C0A" w:themeFill="accent6" w:themeFillShade="BF"/>
            <w:vAlign w:val="center"/>
          </w:tcPr>
          <w:p w:rsidR="00671AED" w:rsidRPr="00671AED" w:rsidRDefault="00671AED" w:rsidP="00671AED">
            <w:pPr>
              <w:jc w:val="center"/>
              <w:rPr>
                <w:b/>
                <w:caps/>
              </w:rPr>
            </w:pPr>
            <w:r w:rsidRPr="00671AED">
              <w:rPr>
                <w:b/>
                <w:caps/>
              </w:rPr>
              <w:t>6. Instandhaltung</w:t>
            </w:r>
            <w:r w:rsidR="00E27C65">
              <w:rPr>
                <w:b/>
                <w:caps/>
              </w:rPr>
              <w:t>/Entsorgung</w:t>
            </w:r>
          </w:p>
        </w:tc>
      </w:tr>
      <w:tr w:rsidR="00926D0D" w:rsidTr="00163C7A">
        <w:tc>
          <w:tcPr>
            <w:tcW w:w="1242" w:type="dxa"/>
            <w:tcBorders>
              <w:left w:val="single" w:sz="48" w:space="0" w:color="E36C0A" w:themeColor="accent6" w:themeShade="BF"/>
            </w:tcBorders>
          </w:tcPr>
          <w:p w:rsidR="00926D0D" w:rsidRDefault="00926D0D"/>
        </w:tc>
        <w:tc>
          <w:tcPr>
            <w:tcW w:w="9440" w:type="dxa"/>
            <w:gridSpan w:val="3"/>
            <w:tcBorders>
              <w:right w:val="single" w:sz="48" w:space="0" w:color="E36C0A" w:themeColor="accent6" w:themeShade="BF"/>
            </w:tcBorders>
            <w:shd w:val="clear" w:color="auto" w:fill="FFFFFF" w:themeFill="background1"/>
          </w:tcPr>
          <w:p w:rsidR="00926D0D" w:rsidRPr="00365596" w:rsidRDefault="00926D0D" w:rsidP="00717594">
            <w:pPr>
              <w:numPr>
                <w:ilvl w:val="0"/>
                <w:numId w:val="2"/>
              </w:numPr>
              <w:tabs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  <w:textAlignment w:val="baseline"/>
              <w:rPr>
                <w:sz w:val="22"/>
              </w:rPr>
            </w:pPr>
            <w:r w:rsidRPr="00CA7453">
              <w:rPr>
                <w:rFonts w:cs="Arial"/>
                <w:color w:val="000000"/>
                <w:sz w:val="22"/>
              </w:rPr>
              <w:t>Instandhaltung/</w:t>
            </w:r>
            <w:r w:rsidR="00717594" w:rsidRPr="00287D59">
              <w:rPr>
                <w:sz w:val="22"/>
                <w:szCs w:val="22"/>
              </w:rPr>
              <w:t xml:space="preserve"> Reparaturen dürfen nur vom Kundendienst/</w:t>
            </w:r>
            <w:r w:rsidR="00717594">
              <w:rPr>
                <w:sz w:val="22"/>
                <w:szCs w:val="22"/>
              </w:rPr>
              <w:t xml:space="preserve">beauftragter </w:t>
            </w:r>
            <w:r w:rsidR="00717594" w:rsidRPr="00287D59">
              <w:rPr>
                <w:sz w:val="22"/>
                <w:szCs w:val="22"/>
              </w:rPr>
              <w:t>fachkundiger Person durchgeführt werden.</w:t>
            </w:r>
          </w:p>
          <w:p w:rsidR="00365596" w:rsidRPr="00365596" w:rsidRDefault="00365596" w:rsidP="00365596">
            <w:pPr>
              <w:numPr>
                <w:ilvl w:val="0"/>
                <w:numId w:val="2"/>
              </w:numPr>
              <w:tabs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  <w:rPr>
                <w:sz w:val="22"/>
              </w:rPr>
            </w:pPr>
            <w:r w:rsidRPr="00365596">
              <w:rPr>
                <w:sz w:val="22"/>
              </w:rPr>
              <w:t>Informationen, wie z.B. zur Entsorgung der Kartuschen, entnehmen Sie bitte dem Sicher</w:t>
            </w:r>
            <w:r>
              <w:rPr>
                <w:sz w:val="22"/>
              </w:rPr>
              <w:t>heitsdatenblatt des Herstellers</w:t>
            </w:r>
            <w:r w:rsidRPr="00365596">
              <w:rPr>
                <w:sz w:val="22"/>
              </w:rPr>
              <w:t xml:space="preserve"> (Drucker und/oder der Kartuschen)</w:t>
            </w:r>
            <w:r>
              <w:rPr>
                <w:sz w:val="22"/>
              </w:rPr>
              <w:t>.</w:t>
            </w:r>
          </w:p>
        </w:tc>
      </w:tr>
      <w:tr w:rsidR="00F765B6" w:rsidTr="00926D0D">
        <w:tc>
          <w:tcPr>
            <w:tcW w:w="10682" w:type="dxa"/>
            <w:gridSpan w:val="4"/>
            <w:tcBorders>
              <w:left w:val="single" w:sz="48" w:space="0" w:color="E36C0A" w:themeColor="accent6" w:themeShade="BF"/>
              <w:bottom w:val="single" w:sz="48" w:space="0" w:color="E36C0A" w:themeColor="accent6" w:themeShade="BF"/>
              <w:right w:val="single" w:sz="48" w:space="0" w:color="E36C0A" w:themeColor="accent6" w:themeShade="BF"/>
            </w:tcBorders>
          </w:tcPr>
          <w:p w:rsidR="00926D0D" w:rsidRPr="00926D0D" w:rsidRDefault="00926D0D" w:rsidP="00926D0D">
            <w:pPr>
              <w:rPr>
                <w:sz w:val="22"/>
              </w:rPr>
            </w:pPr>
            <w:r>
              <w:rPr>
                <w:sz w:val="22"/>
              </w:rPr>
              <w:br/>
            </w:r>
            <w:r w:rsidR="00F765B6" w:rsidRPr="00CA7453">
              <w:rPr>
                <w:sz w:val="22"/>
              </w:rPr>
              <w:t>Datum:                                   Unterschrift:</w:t>
            </w:r>
            <w:r w:rsidR="00CA7453" w:rsidRPr="00CA7453">
              <w:rPr>
                <w:sz w:val="22"/>
              </w:rPr>
              <w:t xml:space="preserve">                                                  </w:t>
            </w:r>
            <w:r>
              <w:rPr>
                <w:sz w:val="22"/>
              </w:rPr>
              <w:br/>
            </w:r>
          </w:p>
        </w:tc>
      </w:tr>
    </w:tbl>
    <w:p w:rsidR="00FC529D" w:rsidRDefault="00FC529D"/>
    <w:sectPr w:rsidR="00FC529D" w:rsidSect="00926D0D">
      <w:footerReference w:type="default" r:id="rId16"/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8C4" w:rsidRDefault="008828C4" w:rsidP="008828C4">
      <w:r>
        <w:separator/>
      </w:r>
    </w:p>
  </w:endnote>
  <w:endnote w:type="continuationSeparator" w:id="0">
    <w:p w:rsidR="008828C4" w:rsidRDefault="008828C4" w:rsidP="008828C4">
      <w:r>
        <w:continuationSeparator/>
      </w:r>
    </w:p>
  </w:endnote>
  <w:endnote w:type="continuationNotice" w:id="1">
    <w:p w:rsidR="00E90FAB" w:rsidRDefault="00E90F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8C4" w:rsidRPr="004943CD" w:rsidRDefault="00C932AB" w:rsidP="008828C4">
    <w:pPr>
      <w:pStyle w:val="Fuzeile"/>
      <w:rPr>
        <w:sz w:val="16"/>
        <w:szCs w:val="16"/>
      </w:rPr>
    </w:pPr>
    <w:r>
      <w:rPr>
        <w:rFonts w:cs="Arial"/>
        <w:sz w:val="16"/>
        <w:szCs w:val="16"/>
      </w:rPr>
      <w:t xml:space="preserve">Arbeitssicherheit / Anweisung / </w:t>
    </w:r>
    <w:r w:rsidR="008828C4" w:rsidRPr="004943CD">
      <w:rPr>
        <w:rFonts w:cs="Arial"/>
        <w:sz w:val="16"/>
        <w:szCs w:val="16"/>
      </w:rPr>
      <w:t>Evangelische Landeskirche Baden</w:t>
    </w:r>
    <w:r w:rsidR="009C3D23">
      <w:rPr>
        <w:rFonts w:cs="Arial"/>
        <w:sz w:val="16"/>
        <w:szCs w:val="16"/>
      </w:rPr>
      <w:t xml:space="preserve"> </w:t>
    </w:r>
    <w:r>
      <w:rPr>
        <w:rFonts w:cs="Arial"/>
        <w:sz w:val="16"/>
        <w:szCs w:val="16"/>
      </w:rPr>
      <w:t>/</w:t>
    </w:r>
    <w:r w:rsidR="008828C4">
      <w:rPr>
        <w:rFonts w:cs="Arial"/>
        <w:sz w:val="16"/>
        <w:szCs w:val="16"/>
      </w:rPr>
      <w:t xml:space="preserve"> </w:t>
    </w:r>
    <w:r>
      <w:rPr>
        <w:rFonts w:cs="Arial"/>
        <w:sz w:val="16"/>
        <w:szCs w:val="16"/>
      </w:rPr>
      <w:t>02.</w:t>
    </w:r>
    <w:r w:rsidR="009A65CE">
      <w:rPr>
        <w:rFonts w:cs="Arial"/>
        <w:sz w:val="16"/>
        <w:szCs w:val="16"/>
      </w:rPr>
      <w:t>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8C4" w:rsidRDefault="008828C4" w:rsidP="008828C4">
      <w:r>
        <w:separator/>
      </w:r>
    </w:p>
  </w:footnote>
  <w:footnote w:type="continuationSeparator" w:id="0">
    <w:p w:rsidR="008828C4" w:rsidRDefault="008828C4" w:rsidP="008828C4">
      <w:r>
        <w:continuationSeparator/>
      </w:r>
    </w:p>
  </w:footnote>
  <w:footnote w:type="continuationNotice" w:id="1">
    <w:p w:rsidR="00E90FAB" w:rsidRDefault="00E90FA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136BD"/>
    <w:multiLevelType w:val="hybridMultilevel"/>
    <w:tmpl w:val="F2FE8A6E"/>
    <w:lvl w:ilvl="0" w:tplc="F5266E7C">
      <w:start w:val="5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C335DD"/>
    <w:multiLevelType w:val="hybridMultilevel"/>
    <w:tmpl w:val="1E76DC76"/>
    <w:lvl w:ilvl="0" w:tplc="04070001">
      <w:start w:val="1"/>
      <w:numFmt w:val="bullet"/>
      <w:lvlText w:val=""/>
      <w:lvlJc w:val="left"/>
      <w:pPr>
        <w:tabs>
          <w:tab w:val="num" w:pos="227"/>
        </w:tabs>
        <w:ind w:left="226" w:hanging="226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F4670D"/>
    <w:multiLevelType w:val="hybridMultilevel"/>
    <w:tmpl w:val="71A41688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0A532F"/>
    <w:multiLevelType w:val="hybridMultilevel"/>
    <w:tmpl w:val="707EED90"/>
    <w:lvl w:ilvl="0" w:tplc="1BAAC41E">
      <w:start w:val="5"/>
      <w:numFmt w:val="bullet"/>
      <w:lvlText w:val="-"/>
      <w:lvlJc w:val="left"/>
      <w:pPr>
        <w:ind w:left="592" w:hanging="360"/>
      </w:pPr>
      <w:rPr>
        <w:rFonts w:ascii="Trebuchet MS" w:eastAsia="Times New Roman" w:hAnsi="Trebuchet M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52" w:hanging="360"/>
      </w:pPr>
      <w:rPr>
        <w:rFonts w:ascii="Wingdings" w:hAnsi="Wingdings" w:hint="default"/>
      </w:rPr>
    </w:lvl>
  </w:abstractNum>
  <w:abstractNum w:abstractNumId="4">
    <w:nsid w:val="1F9F3BCF"/>
    <w:multiLevelType w:val="hybridMultilevel"/>
    <w:tmpl w:val="5D2264B0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80B6A23"/>
    <w:multiLevelType w:val="hybridMultilevel"/>
    <w:tmpl w:val="307A1896"/>
    <w:lvl w:ilvl="0" w:tplc="A4BC5F16">
      <w:start w:val="5"/>
      <w:numFmt w:val="bullet"/>
      <w:lvlText w:val=""/>
      <w:lvlJc w:val="left"/>
      <w:pPr>
        <w:ind w:left="592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52" w:hanging="360"/>
      </w:pPr>
      <w:rPr>
        <w:rFonts w:ascii="Wingdings" w:hAnsi="Wingdings" w:hint="default"/>
      </w:rPr>
    </w:lvl>
  </w:abstractNum>
  <w:abstractNum w:abstractNumId="6">
    <w:nsid w:val="29CD638F"/>
    <w:multiLevelType w:val="hybridMultilevel"/>
    <w:tmpl w:val="C6902DC2"/>
    <w:lvl w:ilvl="0" w:tplc="FFFFFFFF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000000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3DE5B7A"/>
    <w:multiLevelType w:val="hybridMultilevel"/>
    <w:tmpl w:val="25708E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0237C9"/>
    <w:multiLevelType w:val="hybridMultilevel"/>
    <w:tmpl w:val="C83C3974"/>
    <w:lvl w:ilvl="0" w:tplc="99C8FB26">
      <w:start w:val="1"/>
      <w:numFmt w:val="bullet"/>
      <w:lvlText w:val=""/>
      <w:lvlJc w:val="left"/>
      <w:pPr>
        <w:tabs>
          <w:tab w:val="num" w:pos="1210"/>
        </w:tabs>
        <w:ind w:left="1210" w:hanging="360"/>
      </w:pPr>
      <w:rPr>
        <w:rFonts w:ascii="Symbol" w:hAnsi="Symbol"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9">
    <w:nsid w:val="73606D43"/>
    <w:multiLevelType w:val="hybridMultilevel"/>
    <w:tmpl w:val="C02258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1D09EF"/>
    <w:multiLevelType w:val="hybridMultilevel"/>
    <w:tmpl w:val="B2723DAE"/>
    <w:lvl w:ilvl="0" w:tplc="FFFFFFFF">
      <w:start w:val="1"/>
      <w:numFmt w:val="bullet"/>
      <w:lvlText w:val=""/>
      <w:lvlJc w:val="left"/>
      <w:pPr>
        <w:tabs>
          <w:tab w:val="num" w:pos="680"/>
        </w:tabs>
        <w:ind w:left="680" w:hanging="396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DB01DF8"/>
    <w:multiLevelType w:val="hybridMultilevel"/>
    <w:tmpl w:val="C87256F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1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11"/>
  </w:num>
  <w:num w:numId="10">
    <w:abstractNumId w:val="0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188"/>
    <w:rsid w:val="001F281D"/>
    <w:rsid w:val="00202DCF"/>
    <w:rsid w:val="002E204E"/>
    <w:rsid w:val="00365596"/>
    <w:rsid w:val="00445A4B"/>
    <w:rsid w:val="0045282E"/>
    <w:rsid w:val="004A3DEF"/>
    <w:rsid w:val="00671AED"/>
    <w:rsid w:val="006C05E3"/>
    <w:rsid w:val="00717594"/>
    <w:rsid w:val="008828C4"/>
    <w:rsid w:val="00926D0D"/>
    <w:rsid w:val="00947F74"/>
    <w:rsid w:val="009A65CE"/>
    <w:rsid w:val="009C3D23"/>
    <w:rsid w:val="009D54AA"/>
    <w:rsid w:val="00AC4E53"/>
    <w:rsid w:val="00B651A5"/>
    <w:rsid w:val="00BE1804"/>
    <w:rsid w:val="00BF0776"/>
    <w:rsid w:val="00C932AB"/>
    <w:rsid w:val="00C964D0"/>
    <w:rsid w:val="00CA7453"/>
    <w:rsid w:val="00E27C65"/>
    <w:rsid w:val="00E4328D"/>
    <w:rsid w:val="00E90FAB"/>
    <w:rsid w:val="00F71A0D"/>
    <w:rsid w:val="00F765B6"/>
    <w:rsid w:val="00F91EDB"/>
    <w:rsid w:val="00FB2188"/>
    <w:rsid w:val="00FC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rebuchet MS" w:eastAsia="Times New Roman" w:hAnsi="Trebuchet MS" w:cs="Times New Roman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B2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218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2188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FB218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828C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828C4"/>
  </w:style>
  <w:style w:type="paragraph" w:styleId="Fuzeile">
    <w:name w:val="footer"/>
    <w:basedOn w:val="Standard"/>
    <w:link w:val="FuzeileZchn"/>
    <w:unhideWhenUsed/>
    <w:rsid w:val="008828C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8828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ebuchet MS" w:eastAsia="Times New Roman" w:hAnsi="Trebuchet MS" w:cs="Times New Roman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B2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218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2188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FB218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828C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828C4"/>
  </w:style>
  <w:style w:type="paragraph" w:styleId="Fuzeile">
    <w:name w:val="footer"/>
    <w:basedOn w:val="Standard"/>
    <w:link w:val="FuzeileZchn"/>
    <w:unhideWhenUsed/>
    <w:rsid w:val="008828C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8828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gi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393D3-80FF-4CD7-A370-8708A5CA3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3E4A0D93.dotm</Template>
  <TotalTime>0</TotalTime>
  <Pages>1</Pages>
  <Words>299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EOK</Company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Wejwer, Max</dc:creator>
  <cp:lastModifiedBy>Mohr, Wolfgang</cp:lastModifiedBy>
  <cp:revision>4</cp:revision>
  <cp:lastPrinted>2017-09-20T10:24:00Z</cp:lastPrinted>
  <dcterms:created xsi:type="dcterms:W3CDTF">2018-02-15T08:46:00Z</dcterms:created>
  <dcterms:modified xsi:type="dcterms:W3CDTF">2018-02-15T09:07:00Z</dcterms:modified>
</cp:coreProperties>
</file>